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"/>
        <w:gridCol w:w="3217"/>
        <w:gridCol w:w="1080"/>
        <w:gridCol w:w="1260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right"/>
              <w:rPr>
                <w:rFonts w:hint="eastAsia" w:ascii="黑体" w:hAnsi="黑体" w:eastAsia="黑体"/>
                <w:bCs/>
                <w:sz w:val="36"/>
                <w:szCs w:val="36"/>
              </w:rPr>
            </w:pPr>
            <w:r>
              <w:rPr>
                <w:rFonts w:hint="eastAsia"/>
                <w:sz w:val="20"/>
                <w:szCs w:val="20"/>
              </w:rPr>
              <w:t>部门公开表8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  <w:u w:val="single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中共颍上县委组织部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2020年支出预算总表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20101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组织事务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2010101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2010102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05BE5"/>
    <w:rsid w:val="12030B6C"/>
    <w:rsid w:val="23781EDA"/>
    <w:rsid w:val="351F4DFC"/>
    <w:rsid w:val="462C4A11"/>
    <w:rsid w:val="5E997240"/>
    <w:rsid w:val="5F9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m/ala/n</dc:creator>
  <cp:lastModifiedBy>m/ala/n</cp:lastModifiedBy>
  <dcterms:modified xsi:type="dcterms:W3CDTF">2020-07-08T08:12:39Z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