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97"/>
        <w:gridCol w:w="3780"/>
        <w:gridCol w:w="236"/>
        <w:gridCol w:w="1024"/>
        <w:gridCol w:w="1260"/>
        <w:gridCol w:w="361"/>
        <w:gridCol w:w="1079"/>
        <w:gridCol w:w="180"/>
        <w:gridCol w:w="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1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2020年国有资本经营预算支出表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国有资本经营预算拨款支出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223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国有资本经营预算支出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22301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2230101　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  厂办大集体改革支出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95" w:hRule="atLeast"/>
        </w:trPr>
        <w:tc>
          <w:tcPr>
            <w:tcW w:w="910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注：没有国有资本经营收支预算的部门也要公开此表，并备注说明：“</w:t>
            </w:r>
            <w:r>
              <w:rPr>
                <w:rFonts w:hint="eastAsia"/>
              </w:rPr>
              <w:t>颍上县XX局（委）</w:t>
            </w:r>
            <w:r>
              <w:rPr>
                <w:rFonts w:hint="eastAsia" w:ascii="宋体" w:hAnsi="宋体" w:cs="宋体"/>
                <w:kern w:val="0"/>
                <w:sz w:val="24"/>
              </w:rPr>
              <w:t>没有国有资本经营预算拨款收入，也没有国有资本经营预算支出，故本表无数据”。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05BE5"/>
    <w:rsid w:val="12030B6C"/>
    <w:rsid w:val="21DB776E"/>
    <w:rsid w:val="23781EDA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