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15"/>
        <w:gridCol w:w="3960"/>
        <w:gridCol w:w="956"/>
        <w:gridCol w:w="124"/>
        <w:gridCol w:w="720"/>
        <w:gridCol w:w="540"/>
        <w:gridCol w:w="1260"/>
        <w:gridCol w:w="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2020年政府性基金预算支出表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375" w:hRule="atLeas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政府性基金预算拨款支出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20707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国家电影事业发展专项资金安排的支出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2070701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资助影片放映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2070701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资助影院建设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6" w:type="dxa"/>
          <w:trHeight w:val="405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r>
        <w:rPr>
          <w:rFonts w:hint="eastAsia"/>
        </w:rPr>
        <w:t>注：没有政府性基金收支预算的部门也要公开此表，并备注说明：“颍上县XX局（委）没有政府性基金预算拨款收入，也没有政府性基金预算支出，故本表无数据”。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33A77"/>
    <w:rsid w:val="0F805BE5"/>
    <w:rsid w:val="12030B6C"/>
    <w:rsid w:val="23781EDA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