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8"/>
        <w:gridCol w:w="3737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6"/>
                <w:szCs w:val="36"/>
              </w:rPr>
              <w:t>中共颍上县委组织部2020年一般公共预算基本支出表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经济分类科目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369.5165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130.5926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65.0484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30103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社会保障缴费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67.2936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住房公积金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34.1272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30105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独生子女费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0.084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30106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工会经费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4.2479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30107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其他工资福利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其他生活补助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52.2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30109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年终一次性奖金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10.8828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30110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绩效工资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1211.46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30201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30202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30203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咨询费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30204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30301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生活补助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2.124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综合定额公用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25.764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30301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综合定额公用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30302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公务交通补贴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20.364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3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1608.8645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805BE5"/>
    <w:rsid w:val="12030B6C"/>
    <w:rsid w:val="23781EDA"/>
    <w:rsid w:val="462C4A11"/>
    <w:rsid w:val="5E997240"/>
    <w:rsid w:val="5F9B574C"/>
    <w:rsid w:val="64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m/ala/n</dc:creator>
  <cp:lastModifiedBy>m/ala/n</cp:lastModifiedBy>
  <dcterms:modified xsi:type="dcterms:W3CDTF">2020-07-08T08:09:20Z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</Properties>
</file>